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spacing w:before="200" w:after="120"/>
        <w:rPr>
          <w:rFonts w:ascii="Sawasdee" w:hAnsi="Sawasdee"/>
        </w:rPr>
      </w:pPr>
      <w:r>
        <w:rPr>
          <w:rStyle w:val="StrongEmphasis"/>
          <w:rFonts w:ascii="Sawasdee" w:hAnsi="Sawasdee"/>
        </w:rPr>
        <w:t>Product Specification Sheet — Electric Butterfly™ Dual-Axis Tracking Photovoltaic System</w:t>
      </w:r>
    </w:p>
    <w:p>
      <w:pPr>
        <w:pStyle w:val="TextBody"/>
        <w:rPr/>
      </w:pPr>
      <w:r>
        <w:rPr>
          <w:rStyle w:val="StrongEmphasis"/>
          <w:rFonts w:ascii="Sawasdee" w:hAnsi="Sawasdee"/>
        </w:rPr>
        <w:t>Manufacturer:</w:t>
      </w:r>
      <w:r>
        <w:rPr>
          <w:rFonts w:ascii="Sawasdee" w:hAnsi="Sawasdee"/>
        </w:rPr>
        <w:t xml:space="preserve"> JLN Solar, Inc.</w:t>
        <w:br/>
      </w:r>
      <w:r>
        <w:rPr>
          <w:rStyle w:val="StrongEmphasis"/>
          <w:rFonts w:ascii="Sawasdee" w:hAnsi="Sawasdee"/>
        </w:rPr>
        <w:t>Model Name:</w:t>
      </w:r>
      <w:r>
        <w:rPr>
          <w:rFonts w:ascii="Sawasdee" w:hAnsi="Sawasdee"/>
        </w:rPr>
        <w:t xml:space="preserve"> Electric Butterfly™</w:t>
        <w:br/>
      </w:r>
      <w:r>
        <w:rPr>
          <w:rStyle w:val="StrongEmphasis"/>
          <w:rFonts w:ascii="Sawasdee" w:hAnsi="Sawasdee"/>
        </w:rPr>
        <w:t>Application:</w:t>
      </w:r>
      <w:r>
        <w:rPr>
          <w:rFonts w:ascii="Sawasdee" w:hAnsi="Sawasdee"/>
        </w:rPr>
        <w:t xml:space="preserve"> Dual-axis photovoltaic tracking system for utility-scale and emergency-resilient power generation</w:t>
      </w:r>
    </w:p>
    <w:p>
      <w:pPr>
        <w:pStyle w:val="TextBody"/>
        <w:rPr>
          <w:rFonts w:ascii="Sawasdee" w:hAnsi="Sawasdee"/>
        </w:rPr>
      </w:pPr>
      <w:r>
        <w:rPr/>
      </w:r>
    </w:p>
    <w:tbl>
      <w:tblPr>
        <w:tblW w:w="9012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60"/>
        <w:gridCol w:w="5452"/>
      </w:tblGrid>
      <w:tr>
        <w:trPr>
          <w:tblHeader w:val="true"/>
        </w:trPr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Heading"/>
              <w:rPr/>
            </w:pPr>
            <w:r>
              <w:rPr>
                <w:rStyle w:val="StrongEmphasis"/>
                <w:rFonts w:ascii="Sawasdee" w:hAnsi="Sawasdee"/>
              </w:rPr>
              <w:t>Parameter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Heading"/>
              <w:rPr/>
            </w:pPr>
            <w:r>
              <w:rPr>
                <w:rStyle w:val="StrongEmphasis"/>
                <w:rFonts w:ascii="Sawasdee" w:hAnsi="Sawasdee"/>
              </w:rPr>
              <w:t>Specification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Rated Output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Approximately 11 kW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Number of Solar Modules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72 modules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Tracking Type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Dual-axis solar tracker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Wind Survival Rating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Up to 140 mph (≈ 225 km/h or 63 m/s)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Tidal Surge / Flood Resistance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Up to 6 ft (≈ 1.83 m)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Seismic (Earthquake) Rating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Class 5 earthquakes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Other Environmental Resistances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Sand storms, grass fires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Control Method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Internal clock algorithm (no Internet required)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Structural Material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U.S. steel construction with custom-designed gearbox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Gearbox Weight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Approximately 3,600 lbs (≈ 1,633 kg)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Dimensions – Each Wing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Approximately 16 ft (W) × 18 ft (H) ≈ 4.88 m × 5.49 m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Total Wingspan (Diameter)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Approximately 40 ft (≈ 12.19 m)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Dimensions Between Wings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Approximately 4 ft</w:t>
            </w:r>
            <w:bookmarkStart w:id="0" w:name="__DdeLink__28_1364521513"/>
            <w:r>
              <w:rPr>
                <w:rFonts w:ascii="Sawasdee" w:hAnsi="Sawasdee"/>
              </w:rPr>
              <w:t xml:space="preserve"> (≈</w:t>
            </w:r>
            <w:bookmarkEnd w:id="0"/>
            <w:r>
              <w:rPr>
                <w:rFonts w:ascii="Sawasdee" w:hAnsi="Sawasdee"/>
              </w:rPr>
              <w:t xml:space="preserve"> 1.22 m)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 xml:space="preserve">Mast Height 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 xml:space="preserve">Approximately </w:t>
            </w:r>
            <w:r>
              <w:rPr>
                <w:rFonts w:ascii="Sawasdee" w:hAnsi="Sawasdee"/>
              </w:rPr>
              <w:t>24 ft  (≈7.32 m)</w:t>
            </w:r>
          </w:p>
        </w:tc>
      </w:tr>
      <w:tr>
        <w:trPr/>
        <w:tc>
          <w:tcPr>
            <w:tcW w:w="3560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  <w:rFonts w:ascii="Sawasdee" w:hAnsi="Sawasdee"/>
              </w:rPr>
              <w:t>Concrete Foundation Diameter</w:t>
            </w:r>
          </w:p>
        </w:tc>
        <w:tc>
          <w:tcPr>
            <w:tcW w:w="5452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Sawasdee" w:hAnsi="Sawasdee"/>
              </w:rPr>
            </w:pPr>
            <w:r>
              <w:rPr>
                <w:rFonts w:ascii="Sawasdee" w:hAnsi="Sawasdee"/>
              </w:rPr>
              <w:t>To be determined (based on soil and site conditions)</w:t>
            </w:r>
          </w:p>
        </w:tc>
      </w:tr>
    </w:tbl>
    <w:p>
      <w:pPr>
        <w:pStyle w:val="TextBody"/>
        <w:spacing w:before="0" w:after="140"/>
        <w:rPr>
          <w:rStyle w:val="StrongEmphasis"/>
          <w:rFonts w:ascii="Sawasdee" w:hAnsi="Sawasdee"/>
        </w:rPr>
      </w:pPr>
      <w:r>
        <w:rPr>
          <w:rFonts w:ascii="Sawasdee" w:hAnsi="Sawasdee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awasde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ans CJK SC" w:cs="Lohit Devanagari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ans CJK SC" w:cs="Lohit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LibreOffice/6.0.7.3$Linux_X86_64 LibreOffice_project/00m0$Build-3</Application>
  <Pages>1</Pages>
  <Words>162</Words>
  <Characters>946</Characters>
  <CharactersWithSpaces>1078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2025-10-22T09:40:40Z</dcterms:created>
  <dc:creator/>
  <dc:description/>
  <dc:language>en-US</dc:language>
  <cp:lastModifiedBy/>
  <cp:lastPrinted>2025-10-22T10:25:04Z</cp:lastPrinted>
  <dcterms:modified xsi:type="dcterms:W3CDTF">2025-10-22T10:33:02Z</dcterms:modified>
  <cp:revision>2</cp:revision>
  <dc:subject/>
  <dc:title/>
</cp:coreProperties>
</file>